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61" w:rsidRDefault="00E6420B" w:rsidP="00E6420B">
      <w:pPr>
        <w:jc w:val="center"/>
        <w:rPr>
          <w:b w:val="0"/>
          <w:sz w:val="22"/>
        </w:rPr>
      </w:pPr>
      <w:r w:rsidRPr="00E6420B"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78.75pt;visibility:visible">
            <v:imagedata r:id="rId5" r:href="rId6"/>
          </v:shape>
        </w:pict>
      </w:r>
    </w:p>
    <w:p w:rsidR="003D2061" w:rsidRDefault="003D2061">
      <w:pPr>
        <w:rPr>
          <w:b w:val="0"/>
          <w:sz w:val="22"/>
        </w:rPr>
      </w:pPr>
    </w:p>
    <w:p w:rsidR="000604DF" w:rsidRDefault="00AD5F3D">
      <w:pPr>
        <w:ind w:right="23"/>
        <w:jc w:val="both"/>
        <w:rPr>
          <w:b w:val="0"/>
        </w:rPr>
      </w:pPr>
      <w:r>
        <w:rPr>
          <w:b w:val="0"/>
        </w:rPr>
        <w:t>Suivant les statuts de l'ATDL, le Conseil d'Administration (CA) se compose de 10 membres effectifs et de 2 membres suppléants. Chaque année la moitié des membres du conseil est sortant</w:t>
      </w:r>
      <w:r w:rsidR="00AD526F">
        <w:rPr>
          <w:b w:val="0"/>
        </w:rPr>
        <w:t>e</w:t>
      </w:r>
      <w:r>
        <w:rPr>
          <w:b w:val="0"/>
        </w:rPr>
        <w:t xml:space="preserve"> et rééligible. </w:t>
      </w:r>
    </w:p>
    <w:p w:rsidR="00AD5F3D" w:rsidRDefault="000604DF">
      <w:pPr>
        <w:ind w:right="23"/>
        <w:jc w:val="both"/>
        <w:rPr>
          <w:b w:val="0"/>
        </w:rPr>
      </w:pPr>
      <w:r>
        <w:rPr>
          <w:b w:val="0"/>
        </w:rPr>
        <w:t xml:space="preserve">Cette </w:t>
      </w:r>
      <w:r w:rsidRPr="006F1B8D">
        <w:rPr>
          <w:b w:val="0"/>
          <w:highlight w:val="yellow"/>
        </w:rPr>
        <w:t>année 2 membres du CA sont démissionnaires</w:t>
      </w:r>
      <w:r>
        <w:rPr>
          <w:b w:val="0"/>
        </w:rPr>
        <w:t xml:space="preserve"> donc c</w:t>
      </w:r>
      <w:r w:rsidR="00AD5F3D">
        <w:rPr>
          <w:b w:val="0"/>
        </w:rPr>
        <w:t xml:space="preserve">haque membre en règle de cotisation, peut émettre </w:t>
      </w:r>
      <w:r w:rsidR="006E6D7F">
        <w:t>6</w:t>
      </w:r>
      <w:r w:rsidR="00AD5F3D" w:rsidRPr="004A092A">
        <w:t xml:space="preserve"> v</w:t>
      </w:r>
      <w:r w:rsidR="00AD5F3D">
        <w:t>otes</w:t>
      </w:r>
      <w:r w:rsidR="00AD5F3D">
        <w:rPr>
          <w:b w:val="0"/>
        </w:rPr>
        <w:t xml:space="preserve"> au maximum pour des membres différents.</w:t>
      </w:r>
      <w:r w:rsidR="00DF4B61">
        <w:rPr>
          <w:b w:val="0"/>
        </w:rPr>
        <w:t xml:space="preserve"> </w:t>
      </w:r>
    </w:p>
    <w:p w:rsidR="00D72693" w:rsidRDefault="00D72693">
      <w:pPr>
        <w:ind w:right="23"/>
        <w:jc w:val="both"/>
        <w:rPr>
          <w:b w:val="0"/>
          <w:color w:val="auto"/>
        </w:rPr>
      </w:pPr>
      <w:proofErr w:type="spellStart"/>
      <w:r w:rsidRPr="00D72693">
        <w:rPr>
          <w:rFonts w:ascii="Garamond" w:hAnsi="Garamond" w:cs="Calibri"/>
          <w:color w:val="0070C0"/>
        </w:rPr>
        <w:t>MMes</w:t>
      </w:r>
      <w:proofErr w:type="spellEnd"/>
      <w:r w:rsidRPr="00D72693">
        <w:rPr>
          <w:rFonts w:ascii="Garamond" w:hAnsi="Garamond" w:cs="Calibri"/>
          <w:color w:val="0070C0"/>
        </w:rPr>
        <w:t xml:space="preserve"> LARRIERE et MAFFEI, MM. SCHMIDT et WEBER sont sortants et se représentent de même que MM. DEMANGE et SAINTE. M. SCHOLER</w:t>
      </w:r>
      <w:bookmarkStart w:id="0" w:name="_GoBack"/>
      <w:bookmarkEnd w:id="0"/>
    </w:p>
    <w:p w:rsidR="00AD5F3D" w:rsidRDefault="00AD5F3D">
      <w:pPr>
        <w:ind w:right="23"/>
        <w:rPr>
          <w:b w:val="0"/>
          <w:color w:val="auto"/>
        </w:rPr>
      </w:pPr>
    </w:p>
    <w:p w:rsidR="00AD5F3D" w:rsidRDefault="00AD5F3D">
      <w:pPr>
        <w:jc w:val="center"/>
        <w:rPr>
          <w:sz w:val="28"/>
        </w:rPr>
      </w:pPr>
      <w:r>
        <w:rPr>
          <w:sz w:val="28"/>
        </w:rPr>
        <w:t>Bulletin de vote</w:t>
      </w:r>
      <w:r w:rsidR="00E8115E">
        <w:rPr>
          <w:sz w:val="28"/>
        </w:rPr>
        <w:br/>
      </w:r>
      <w:r>
        <w:rPr>
          <w:sz w:val="28"/>
        </w:rPr>
        <w:t>des membres du conseil d'administration</w:t>
      </w:r>
      <w:r w:rsidR="004A092A">
        <w:rPr>
          <w:sz w:val="28"/>
        </w:rPr>
        <w:t xml:space="preserve"> </w:t>
      </w:r>
    </w:p>
    <w:p w:rsidR="00AD5F3D" w:rsidRDefault="00AD5F3D">
      <w:pPr>
        <w:rPr>
          <w:b w:val="0"/>
          <w:color w:val="auto"/>
        </w:rPr>
      </w:pPr>
    </w:p>
    <w:p w:rsidR="00AD5F3D" w:rsidRDefault="00AD5F3D">
      <w:pPr>
        <w:rPr>
          <w:b w:val="0"/>
          <w:color w:val="auto"/>
        </w:rPr>
      </w:pPr>
      <w:r w:rsidRPr="003F074B">
        <w:rPr>
          <w:b w:val="0"/>
          <w:color w:val="auto"/>
          <w:highlight w:val="yellow"/>
        </w:rPr>
        <w:t xml:space="preserve">Vote du </w:t>
      </w:r>
      <w:r w:rsidR="006E6D7F">
        <w:rPr>
          <w:b w:val="0"/>
          <w:color w:val="auto"/>
          <w:highlight w:val="yellow"/>
        </w:rPr>
        <w:t>2</w:t>
      </w:r>
      <w:r w:rsidR="006F1B8D">
        <w:rPr>
          <w:b w:val="0"/>
          <w:color w:val="auto"/>
          <w:highlight w:val="yellow"/>
        </w:rPr>
        <w:t>6</w:t>
      </w:r>
      <w:r w:rsidR="001B74FA" w:rsidRPr="003F074B">
        <w:rPr>
          <w:b w:val="0"/>
          <w:color w:val="auto"/>
          <w:highlight w:val="yellow"/>
        </w:rPr>
        <w:t xml:space="preserve"> mars 20</w:t>
      </w:r>
      <w:r w:rsidR="001B74FA" w:rsidRPr="006F1B8D">
        <w:rPr>
          <w:b w:val="0"/>
          <w:color w:val="auto"/>
          <w:highlight w:val="yellow"/>
        </w:rPr>
        <w:t>1</w:t>
      </w:r>
      <w:r w:rsidR="006F1B8D" w:rsidRPr="006F1B8D">
        <w:rPr>
          <w:b w:val="0"/>
          <w:color w:val="auto"/>
          <w:highlight w:val="yellow"/>
        </w:rPr>
        <w:t>9</w:t>
      </w:r>
    </w:p>
    <w:p w:rsidR="00240104" w:rsidRDefault="00240104">
      <w:pPr>
        <w:rPr>
          <w:b w:val="0"/>
          <w:color w:val="auto"/>
        </w:rPr>
      </w:pPr>
    </w:p>
    <w:p w:rsidR="00AD5F3D" w:rsidRDefault="00240104" w:rsidP="00240104">
      <w:pPr>
        <w:ind w:left="540"/>
        <w:rPr>
          <w:b w:val="0"/>
          <w:color w:val="auto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36pt;margin-top:1pt;width:90pt;height:90pt;z-index:-2" stroked="f">
            <v:fill color2="#aaa" type="gradient"/>
            <v:shadow on="t" color="#4d4d4d" opacity="52429f" offset=",3pt"/>
            <v:textpath style="font-family:&quot;Arial Black&quot;;font-size:1in;v-text-spacing:78650f;v-text-kern:t" trim="t" fitpath="t" string="A"/>
          </v:shape>
        </w:pict>
      </w:r>
    </w:p>
    <w:tbl>
      <w:tblPr>
        <w:tblW w:w="7427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238"/>
        <w:gridCol w:w="1238"/>
        <w:gridCol w:w="1238"/>
        <w:gridCol w:w="1238"/>
        <w:gridCol w:w="1238"/>
      </w:tblGrid>
      <w:tr w:rsidR="006E6D7F" w:rsidTr="006E6D7F">
        <w:tblPrEx>
          <w:tblCellMar>
            <w:top w:w="0" w:type="dxa"/>
            <w:bottom w:w="0" w:type="dxa"/>
          </w:tblCellMar>
        </w:tblPrEx>
        <w:tc>
          <w:tcPr>
            <w:tcW w:w="1237" w:type="dxa"/>
          </w:tcPr>
          <w:p w:rsidR="006E6D7F" w:rsidRDefault="006E6D7F" w:rsidP="00240104">
            <w:pPr>
              <w:ind w:left="540"/>
              <w:rPr>
                <w:b w:val="0"/>
                <w:color w:val="auto"/>
              </w:rPr>
            </w:pPr>
          </w:p>
          <w:p w:rsidR="006E6D7F" w:rsidRDefault="006E6D7F" w:rsidP="00240104">
            <w:pPr>
              <w:ind w:left="540"/>
              <w:rPr>
                <w:b w:val="0"/>
                <w:color w:val="auto"/>
              </w:rPr>
            </w:pPr>
          </w:p>
          <w:p w:rsidR="006E6D7F" w:rsidRDefault="006E6D7F" w:rsidP="00240104">
            <w:pPr>
              <w:ind w:left="540"/>
              <w:rPr>
                <w:b w:val="0"/>
                <w:color w:val="auto"/>
              </w:rPr>
            </w:pPr>
          </w:p>
          <w:p w:rsidR="006E6D7F" w:rsidRDefault="006E6D7F" w:rsidP="00240104">
            <w:pPr>
              <w:ind w:left="540"/>
              <w:rPr>
                <w:b w:val="0"/>
                <w:color w:val="auto"/>
              </w:rPr>
            </w:pPr>
          </w:p>
          <w:p w:rsidR="006E6D7F" w:rsidRDefault="006E6D7F" w:rsidP="00240104">
            <w:pPr>
              <w:ind w:left="540"/>
              <w:rPr>
                <w:b w:val="0"/>
                <w:color w:val="auto"/>
              </w:rPr>
            </w:pPr>
          </w:p>
        </w:tc>
        <w:tc>
          <w:tcPr>
            <w:tcW w:w="1238" w:type="dxa"/>
          </w:tcPr>
          <w:p w:rsidR="006E6D7F" w:rsidRDefault="006E6D7F" w:rsidP="00240104">
            <w:pPr>
              <w:ind w:left="540"/>
              <w:rPr>
                <w:b w:val="0"/>
                <w:color w:val="auto"/>
              </w:rPr>
            </w:pPr>
          </w:p>
        </w:tc>
        <w:tc>
          <w:tcPr>
            <w:tcW w:w="1238" w:type="dxa"/>
          </w:tcPr>
          <w:p w:rsidR="006E6D7F" w:rsidRDefault="006E6D7F" w:rsidP="00240104">
            <w:pPr>
              <w:ind w:left="540"/>
              <w:rPr>
                <w:b w:val="0"/>
                <w:color w:val="auto"/>
              </w:rPr>
            </w:pPr>
          </w:p>
        </w:tc>
        <w:tc>
          <w:tcPr>
            <w:tcW w:w="1238" w:type="dxa"/>
          </w:tcPr>
          <w:p w:rsidR="006E6D7F" w:rsidRDefault="006E6D7F" w:rsidP="00240104">
            <w:pPr>
              <w:ind w:left="540"/>
              <w:rPr>
                <w:b w:val="0"/>
                <w:color w:val="auto"/>
              </w:rPr>
            </w:pPr>
          </w:p>
        </w:tc>
        <w:tc>
          <w:tcPr>
            <w:tcW w:w="1238" w:type="dxa"/>
          </w:tcPr>
          <w:p w:rsidR="006E6D7F" w:rsidRDefault="006E6D7F" w:rsidP="00240104">
            <w:pPr>
              <w:ind w:left="540"/>
              <w:rPr>
                <w:b w:val="0"/>
                <w:color w:val="auto"/>
              </w:rPr>
            </w:pPr>
          </w:p>
        </w:tc>
        <w:tc>
          <w:tcPr>
            <w:tcW w:w="1238" w:type="dxa"/>
          </w:tcPr>
          <w:p w:rsidR="006E6D7F" w:rsidRDefault="006E6D7F" w:rsidP="00240104">
            <w:pPr>
              <w:ind w:left="540"/>
              <w:rPr>
                <w:b w:val="0"/>
                <w:color w:val="auto"/>
              </w:rPr>
            </w:pPr>
          </w:p>
        </w:tc>
      </w:tr>
    </w:tbl>
    <w:p w:rsidR="00AD5F3D" w:rsidRDefault="00AD5F3D">
      <w:pPr>
        <w:pBdr>
          <w:bottom w:val="single" w:sz="6" w:space="1" w:color="auto"/>
        </w:pBdr>
        <w:rPr>
          <w:b w:val="0"/>
          <w:color w:val="auto"/>
        </w:rPr>
      </w:pPr>
    </w:p>
    <w:p w:rsidR="00D3587F" w:rsidRDefault="00D3587F">
      <w:pPr>
        <w:rPr>
          <w:b w:val="0"/>
          <w:color w:val="auto"/>
        </w:rPr>
      </w:pPr>
    </w:p>
    <w:p w:rsidR="00D3587F" w:rsidRDefault="00E6420B" w:rsidP="00E6420B">
      <w:pPr>
        <w:jc w:val="center"/>
        <w:rPr>
          <w:b w:val="0"/>
          <w:color w:val="auto"/>
        </w:rPr>
      </w:pPr>
      <w:r w:rsidRPr="00E6420B">
        <w:rPr>
          <w:noProof/>
          <w:lang w:val="fr-BE" w:eastAsia="fr-BE"/>
        </w:rPr>
        <w:pict>
          <v:shape id="_x0000_i1026" type="#_x0000_t75" style="width:175.5pt;height:78.75pt;visibility:visible">
            <v:imagedata r:id="rId5" r:href="rId7"/>
          </v:shape>
        </w:pict>
      </w:r>
    </w:p>
    <w:p w:rsidR="003D2061" w:rsidRDefault="003D2061">
      <w:pPr>
        <w:rPr>
          <w:b w:val="0"/>
          <w:color w:val="auto"/>
        </w:rPr>
      </w:pPr>
    </w:p>
    <w:p w:rsidR="00A61BCD" w:rsidRDefault="00A61BCD" w:rsidP="00A61BCD">
      <w:pPr>
        <w:rPr>
          <w:b w:val="0"/>
          <w:sz w:val="22"/>
        </w:rPr>
      </w:pPr>
    </w:p>
    <w:p w:rsidR="00A61BCD" w:rsidRDefault="00A61BCD" w:rsidP="00A61BCD">
      <w:pPr>
        <w:ind w:right="23"/>
        <w:jc w:val="both"/>
        <w:rPr>
          <w:b w:val="0"/>
          <w:color w:val="auto"/>
        </w:rPr>
      </w:pPr>
      <w:r>
        <w:rPr>
          <w:b w:val="0"/>
        </w:rPr>
        <w:t xml:space="preserve">Suivant les statuts de l'ATDL, deux commissaires aux comptes sont élus par les membres de l'association. Chaque membre en règle de cotisation, peut émettre </w:t>
      </w:r>
      <w:r>
        <w:t xml:space="preserve">2 votes </w:t>
      </w:r>
      <w:r>
        <w:rPr>
          <w:b w:val="0"/>
        </w:rPr>
        <w:t>au maximum pour des membres différents.</w:t>
      </w:r>
    </w:p>
    <w:p w:rsidR="00A61BCD" w:rsidRDefault="00A61BCD" w:rsidP="00A61BCD">
      <w:pPr>
        <w:jc w:val="center"/>
        <w:rPr>
          <w:sz w:val="28"/>
        </w:rPr>
      </w:pPr>
      <w:r>
        <w:rPr>
          <w:sz w:val="28"/>
        </w:rPr>
        <w:t>Bulletin de vote</w:t>
      </w:r>
      <w:r w:rsidR="00E8115E">
        <w:rPr>
          <w:sz w:val="28"/>
        </w:rPr>
        <w:br/>
      </w:r>
      <w:r>
        <w:rPr>
          <w:sz w:val="28"/>
        </w:rPr>
        <w:t>des commissaires aux comptes</w:t>
      </w:r>
    </w:p>
    <w:p w:rsidR="00A61BCD" w:rsidRDefault="00A61BCD" w:rsidP="00A61BCD">
      <w:pPr>
        <w:rPr>
          <w:b w:val="0"/>
          <w:color w:val="auto"/>
        </w:rPr>
      </w:pPr>
    </w:p>
    <w:p w:rsidR="00A61BCD" w:rsidRDefault="0069594C" w:rsidP="00A61BCD">
      <w:pPr>
        <w:rPr>
          <w:b w:val="0"/>
          <w:color w:val="auto"/>
        </w:rPr>
      </w:pPr>
      <w:r w:rsidRPr="003F074B">
        <w:rPr>
          <w:b w:val="0"/>
          <w:color w:val="auto"/>
          <w:highlight w:val="yellow"/>
        </w:rPr>
        <w:t xml:space="preserve">Vote du </w:t>
      </w:r>
      <w:r w:rsidR="006E6D7F">
        <w:rPr>
          <w:b w:val="0"/>
          <w:color w:val="auto"/>
          <w:highlight w:val="yellow"/>
        </w:rPr>
        <w:t>24</w:t>
      </w:r>
      <w:r w:rsidR="001B74FA" w:rsidRPr="003F074B">
        <w:rPr>
          <w:b w:val="0"/>
          <w:color w:val="auto"/>
          <w:highlight w:val="yellow"/>
        </w:rPr>
        <w:t xml:space="preserve"> mars 201</w:t>
      </w:r>
      <w:r w:rsidR="006E6D7F" w:rsidRPr="006E6D7F">
        <w:rPr>
          <w:b w:val="0"/>
          <w:color w:val="auto"/>
          <w:highlight w:val="yellow"/>
        </w:rPr>
        <w:t>6</w:t>
      </w:r>
    </w:p>
    <w:p w:rsidR="00A61BCD" w:rsidRDefault="00A61BCD" w:rsidP="00A61BCD">
      <w:pPr>
        <w:rPr>
          <w:b w:val="0"/>
          <w:color w:val="auto"/>
        </w:rPr>
      </w:pPr>
    </w:p>
    <w:p w:rsidR="00A61BCD" w:rsidRDefault="00921410" w:rsidP="00A61BCD">
      <w:pPr>
        <w:rPr>
          <w:b w:val="0"/>
          <w:color w:val="auto"/>
        </w:rPr>
      </w:pPr>
      <w:r>
        <w:rPr>
          <w:noProof/>
        </w:rPr>
        <w:pict>
          <v:shape id="_x0000_s1044" type="#_x0000_t136" style="position:absolute;margin-left:4.4pt;margin-top:-12.05pt;width:82.4pt;height:109.15pt;rotation:90;z-index:2" fillcolor="#c4b596" strokecolor="#c4b596" strokeweight="1pt">
            <v:fill r:id="rId8" o:title="Sand" type="tile"/>
            <v:shadow on="t" color="#cbcbcb" opacity="52429f" offset="3pt,3pt"/>
            <v:textpath style="font-family:&quot;Times New Roman&quot;;font-size:1in;font-weight:bold;v-rotate-letters:t;v-text-kern:t" trim="t" fitpath="t" string="C"/>
          </v:shape>
        </w:pic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</w:tblGrid>
      <w:tr w:rsidR="00A61BC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D" w:rsidRDefault="00A61BCD">
            <w:pPr>
              <w:rPr>
                <w:b w:val="0"/>
                <w:color w:val="auto"/>
              </w:rPr>
            </w:pPr>
          </w:p>
          <w:p w:rsidR="00A61BCD" w:rsidRDefault="00A61BCD">
            <w:pPr>
              <w:rPr>
                <w:b w:val="0"/>
                <w:color w:val="auto"/>
              </w:rPr>
            </w:pPr>
          </w:p>
          <w:p w:rsidR="00A61BCD" w:rsidRDefault="00A61BCD">
            <w:pPr>
              <w:rPr>
                <w:b w:val="0"/>
                <w:color w:val="auto"/>
              </w:rPr>
            </w:pPr>
          </w:p>
          <w:p w:rsidR="00A61BCD" w:rsidRDefault="00A61BCD">
            <w:pPr>
              <w:rPr>
                <w:b w:val="0"/>
                <w:color w:val="auto"/>
              </w:rPr>
            </w:pPr>
          </w:p>
          <w:p w:rsidR="00A61BCD" w:rsidRDefault="00A61BCD">
            <w:pPr>
              <w:rPr>
                <w:b w:val="0"/>
                <w:color w:val="auto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D" w:rsidRDefault="00A61BCD">
            <w:pPr>
              <w:rPr>
                <w:b w:val="0"/>
                <w:color w:val="auto"/>
              </w:rPr>
            </w:pPr>
          </w:p>
        </w:tc>
      </w:tr>
    </w:tbl>
    <w:p w:rsidR="00A61BCD" w:rsidRDefault="00A61BCD" w:rsidP="00A61BCD">
      <w:pPr>
        <w:rPr>
          <w:b w:val="0"/>
          <w:color w:val="auto"/>
        </w:rPr>
      </w:pPr>
    </w:p>
    <w:p w:rsidR="00A61BCD" w:rsidRDefault="00A61BCD" w:rsidP="00A61BCD">
      <w:pPr>
        <w:rPr>
          <w:b w:val="0"/>
          <w:color w:val="auto"/>
        </w:rPr>
      </w:pPr>
    </w:p>
    <w:p w:rsidR="00A61BCD" w:rsidRDefault="00A61BCD" w:rsidP="00A61BCD">
      <w:pPr>
        <w:rPr>
          <w:b w:val="0"/>
          <w:color w:val="auto"/>
        </w:rPr>
      </w:pPr>
    </w:p>
    <w:p w:rsidR="00AD5F3D" w:rsidRDefault="00AD5F3D"/>
    <w:sectPr w:rsidR="00AD5F3D">
      <w:pgSz w:w="11906" w:h="16838"/>
      <w:pgMar w:top="90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3CD"/>
    <w:multiLevelType w:val="singleLevel"/>
    <w:tmpl w:val="E7AC34A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AB47F3"/>
    <w:multiLevelType w:val="hybridMultilevel"/>
    <w:tmpl w:val="1B889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F2951DB"/>
    <w:multiLevelType w:val="singleLevel"/>
    <w:tmpl w:val="5FB4EF22"/>
    <w:lvl w:ilvl="0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F3D"/>
    <w:rsid w:val="000604DF"/>
    <w:rsid w:val="001B74FA"/>
    <w:rsid w:val="00240104"/>
    <w:rsid w:val="002B1637"/>
    <w:rsid w:val="003D2061"/>
    <w:rsid w:val="003F074B"/>
    <w:rsid w:val="00486765"/>
    <w:rsid w:val="004A092A"/>
    <w:rsid w:val="0069594C"/>
    <w:rsid w:val="006E6D7F"/>
    <w:rsid w:val="006F1B8D"/>
    <w:rsid w:val="0085716C"/>
    <w:rsid w:val="009149CE"/>
    <w:rsid w:val="00921410"/>
    <w:rsid w:val="00A61BCD"/>
    <w:rsid w:val="00AD526F"/>
    <w:rsid w:val="00AD5F3D"/>
    <w:rsid w:val="00BE2877"/>
    <w:rsid w:val="00C94A66"/>
    <w:rsid w:val="00CB5E1A"/>
    <w:rsid w:val="00D3587F"/>
    <w:rsid w:val="00D72693"/>
    <w:rsid w:val="00DF4B61"/>
    <w:rsid w:val="00E6420B"/>
    <w:rsid w:val="00E8115E"/>
    <w:rsid w:val="00EC010C"/>
    <w:rsid w:val="00F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4:docId w14:val="77B66B24"/>
  <w15:chartTrackingRefBased/>
  <w15:docId w15:val="{152B9602-CAC1-4570-ADFD-5FDC1063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color w:val="000000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67"/>
      </w:tabs>
      <w:jc w:val="both"/>
      <w:outlineLvl w:val="0"/>
    </w:pPr>
    <w:rPr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567"/>
      </w:tabs>
      <w:jc w:val="center"/>
      <w:outlineLvl w:val="3"/>
    </w:pPr>
    <w:rPr>
      <w:bCs/>
      <w:sz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b w:val="0"/>
      <w:bCs/>
      <w:sz w:val="20"/>
    </w:rPr>
  </w:style>
  <w:style w:type="paragraph" w:styleId="Retraitcorpsdetexte">
    <w:name w:val="Body Text Indent"/>
    <w:basedOn w:val="Normal"/>
    <w:pPr>
      <w:ind w:left="2552" w:hanging="2552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G Times (W1)" w:hAnsi="CG Times (W1)"/>
      <w:b w:val="0"/>
      <w:lang w:eastAsia="en-US"/>
    </w:rPr>
  </w:style>
  <w:style w:type="paragraph" w:styleId="Textedebulles">
    <w:name w:val="Balloon Text"/>
    <w:basedOn w:val="Normal"/>
    <w:semiHidden/>
    <w:rsid w:val="004A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4867ACD7-315C-4F4E-8DCA-F0E645DC4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867ACD7-315C-4F4E-8DCA-F0E645DC456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European Investment Bank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moissette</dc:creator>
  <cp:keywords/>
  <cp:lastModifiedBy>Daniel Schmidt</cp:lastModifiedBy>
  <cp:revision>3</cp:revision>
  <cp:lastPrinted>2015-03-19T12:16:00Z</cp:lastPrinted>
  <dcterms:created xsi:type="dcterms:W3CDTF">2019-02-06T20:51:00Z</dcterms:created>
  <dcterms:modified xsi:type="dcterms:W3CDTF">2019-02-06T21:15:00Z</dcterms:modified>
</cp:coreProperties>
</file>